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CBD" w:rsidRPr="000962A3" w:rsidRDefault="00062CBD" w:rsidP="00062CBD">
      <w:pPr>
        <w:suppressAutoHyphens/>
        <w:autoSpaceDN w:val="0"/>
        <w:spacing w:after="0" w:line="360" w:lineRule="auto"/>
        <w:jc w:val="right"/>
        <w:textAlignment w:val="baseline"/>
        <w:rPr>
          <w:rFonts w:ascii="Arial" w:eastAsia="NSimSun" w:hAnsi="Arial" w:cs="Arial"/>
          <w:bCs/>
          <w:kern w:val="3"/>
          <w:lang w:eastAsia="zh-CN" w:bidi="hi-IN"/>
        </w:rPr>
      </w:pPr>
      <w:r w:rsidRPr="000962A3">
        <w:rPr>
          <w:rFonts w:ascii="Arial" w:eastAsia="NSimSun" w:hAnsi="Arial" w:cs="Arial"/>
          <w:bCs/>
          <w:kern w:val="3"/>
          <w:lang w:eastAsia="zh-CN" w:bidi="hi-IN"/>
        </w:rPr>
        <w:t>Załącznik nr 8 do SWZ</w:t>
      </w: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/>
          <w:bCs/>
          <w:kern w:val="3"/>
          <w:lang w:eastAsia="zh-CN" w:bidi="hi-IN"/>
        </w:rPr>
      </w:pP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b/>
          <w:bCs/>
          <w:kern w:val="3"/>
          <w:lang w:eastAsia="zh-CN" w:bidi="hi-IN"/>
        </w:rPr>
      </w:pPr>
      <w:r w:rsidRPr="000962A3">
        <w:rPr>
          <w:rFonts w:ascii="Arial" w:eastAsia="NSimSun" w:hAnsi="Arial" w:cs="Arial"/>
          <w:b/>
          <w:bCs/>
          <w:kern w:val="3"/>
          <w:lang w:eastAsia="zh-CN" w:bidi="hi-IN"/>
        </w:rPr>
        <w:t>Klauzula informacyjna dotycząca przetwarzania danych osobowych uczestników postępowania</w:t>
      </w: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</w:p>
    <w:p w:rsidR="00062CBD" w:rsidRPr="000962A3" w:rsidRDefault="00062CBD" w:rsidP="00062CBD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Zgodnie z art. 13 ust. 1 i 2 rozporządzenia Parlamentu Europejskiego i Rady (UE) 2016/679 z dnia 27 kwietnia 2016r. w sprawie ochrony osób fizycznych w związku z przetwarzaniem danych osobowych i w sprawie swobodnego przepływu takich danych oraz uchylenia dyrektywy 95/46/WE (ogólne rozporządzenie o ochronie danych) (Dz. Urz. UE L 119 z 04.05.2016, str. 1), dalej „RODO”, Zamawiający informuje, że: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administratorem danych osobowych uczestników postępowania jest Międzygminne Towarzystwo Budownictwa Społecznego Sp. z o.o.;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kontakt z Inspektorem Ochrony Danych - pisemny za pomocą poczty tradycyjnej na adres: Międzygminne 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towarzystwo Budownictwa Społecznego Sp. z o.o., ul. Towarowa 1, 42-600 Tarnowskie Góry, pocztą elektroniczną na adres e-mail: </w:t>
      </w:r>
      <w:hyperlink r:id="rId7" w:history="1">
        <w:r w:rsidRPr="000962A3">
          <w:rPr>
            <w:rStyle w:val="Hipercze"/>
            <w:rFonts w:ascii="Arial" w:eastAsia="NSimSun" w:hAnsi="Arial" w:cs="Arial"/>
            <w:kern w:val="3"/>
            <w:lang w:eastAsia="zh-CN" w:bidi="hi-IN"/>
          </w:rPr>
          <w:t>iod-mtbs@mtbstg.pl</w:t>
        </w:r>
      </w:hyperlink>
      <w:r w:rsidRPr="000962A3">
        <w:rPr>
          <w:rFonts w:ascii="Arial" w:eastAsia="NSimSun" w:hAnsi="Arial" w:cs="Arial"/>
          <w:kern w:val="3"/>
          <w:lang w:eastAsia="zh-CN" w:bidi="hi-IN"/>
        </w:rPr>
        <w:t xml:space="preserve"> , nr tel.: 602 762 036;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Dane osobowe uczestników postępowania przetwarzane będą na podstawie przepisów ustawy z 11 września 2019r. – Prawo zamówień publicznych oraz art. 6 ust. 1 lit. b, c RODO w celu prowadzenia przedmiotowego postępowania o udzielenie zamówienia publicznego oraz zawarcia i realizacji umowy;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odbiorcami danych osobowych będą osoby lub podmioty, którym udostępniona zostanie dokumentacja postępowania w oparciu o art. 18 oraz art. 74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>, a także podmioty upoważnione na podstawie zawartych umów powierzenia przetwarzania danych osobowych;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dane osobowe będą przechowywane, zgodnie z art. 78 ust. 1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>, przez okres 4 lat od dnia zakończenia postępowania o udzielenie zamówienia, a jeżeli czas trwania umowy przekracza 4 lata, okres przechowywania obejmuje cały czas trwania umowy;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obowiązek podania  danych osobowych jest wymogiem ustawowym określonym w przepisach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 xml:space="preserve">, związanym z udziałem w postępowaniu o udzielenie zamówienia publicznego; konsekwencje niepodania określonych danych wynikają z ustawy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>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w odniesieniu do danych osobowych decyzje uczestników postępowania nie będą podejmowane w sposób zautomatyzowany, stosowanie do art. 22 RODO;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uczestnicy postępowania posiadają :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na podstawie art. 15 RODO prawo dostępu do danych osobowych jego dotyczących;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na podstawie art. 16 RODO prawo do sprostowania lub uzupełnienia danych osobowych, przy czym skorzystanie z prawa do sprostowania lub uzupełnienia </w:t>
      </w:r>
      <w:r w:rsidRPr="000962A3">
        <w:rPr>
          <w:rFonts w:ascii="Arial" w:eastAsia="NSimSun" w:hAnsi="Arial" w:cs="Arial"/>
          <w:kern w:val="3"/>
          <w:lang w:eastAsia="zh-CN" w:bidi="hi-IN"/>
        </w:rPr>
        <w:lastRenderedPageBreak/>
        <w:t xml:space="preserve">nie może skutkować zmianą wyniku postępowania </w:t>
      </w:r>
      <w:r w:rsidRPr="000962A3">
        <w:rPr>
          <w:rFonts w:ascii="Arial" w:eastAsia="NSimSun" w:hAnsi="Arial" w:cs="Arial"/>
          <w:kern w:val="3"/>
          <w:lang w:eastAsia="zh-CN" w:bidi="hi-IN"/>
        </w:rPr>
        <w:br/>
        <w:t xml:space="preserve">o udzielenie zamówienia publicznego ani zmianą postanowień umowy w zakresie niezgodnym z ustawą </w:t>
      </w:r>
      <w:proofErr w:type="spellStart"/>
      <w:r w:rsidRPr="000962A3">
        <w:rPr>
          <w:rFonts w:ascii="Arial" w:eastAsia="NSimSun" w:hAnsi="Arial" w:cs="Arial"/>
          <w:kern w:val="3"/>
          <w:lang w:eastAsia="zh-CN" w:bidi="hi-IN"/>
        </w:rPr>
        <w:t>Pzp</w:t>
      </w:r>
      <w:proofErr w:type="spellEnd"/>
      <w:r w:rsidRPr="000962A3">
        <w:rPr>
          <w:rFonts w:ascii="Arial" w:eastAsia="NSimSun" w:hAnsi="Arial" w:cs="Arial"/>
          <w:kern w:val="3"/>
          <w:lang w:eastAsia="zh-CN" w:bidi="hi-IN"/>
        </w:rPr>
        <w:t xml:space="preserve"> oraz nie może naruszać integralności protokołu oraz jego załączników.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 xml:space="preserve">na podstawie art. 18 RODO prawo żądania od administratora ograniczenia przetwarzania danych osobowych z zastrzeżeniem przypadków, o których mowa w art. 18 ust. 2 RODO, przy czym prawo do ograniczenia przetwarzania nie ma </w:t>
      </w:r>
      <w:bookmarkStart w:id="0" w:name="_GoBack"/>
      <w:bookmarkEnd w:id="0"/>
      <w:r w:rsidRPr="000962A3">
        <w:rPr>
          <w:rFonts w:ascii="Arial" w:eastAsia="NSimSun" w:hAnsi="Arial" w:cs="Arial"/>
          <w:kern w:val="3"/>
          <w:lang w:eastAsia="zh-CN" w:bidi="hi-IN"/>
        </w:rPr>
        <w:t>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prawo do wniesienia skargi do Prezesa Urzędu Ochrony Danych Osobowych, gdy uzna, że przetwarzanie danych osobowych jego dotyczących narusza przepisy RODO;</w:t>
      </w:r>
    </w:p>
    <w:p w:rsidR="00062CBD" w:rsidRPr="000962A3" w:rsidRDefault="00062CBD" w:rsidP="00062CBD">
      <w:pPr>
        <w:pStyle w:val="Akapitzlist"/>
        <w:numPr>
          <w:ilvl w:val="1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uczestnikom nie przysługuje :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w związku z art. 17 ust. 3 lit. b, d lub e RODO prawo do usunięcia danych osobowych;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prawo do przenoszenia danych osobowych, o którym mowa w art. 20 RODO;</w:t>
      </w:r>
    </w:p>
    <w:p w:rsidR="00062CBD" w:rsidRPr="000962A3" w:rsidRDefault="00062CBD" w:rsidP="00062CBD">
      <w:pPr>
        <w:pStyle w:val="Akapitzlist"/>
        <w:numPr>
          <w:ilvl w:val="2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na podstawie art. 21 RODO prawo sprzeciwu, wobec przetwarzania danych osobowych, gdyż podstawą prawną przetwarzania Pani/Pana danych osobowych jest art. 6 ust. 1 lit. c RODO.</w:t>
      </w:r>
    </w:p>
    <w:p w:rsidR="00062CBD" w:rsidRPr="000962A3" w:rsidRDefault="00062CBD" w:rsidP="00062CBD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</w:p>
    <w:p w:rsidR="00AC4C40" w:rsidRPr="000962A3" w:rsidRDefault="00062CBD" w:rsidP="00062CBD">
      <w:pPr>
        <w:pStyle w:val="Akapitzlist"/>
        <w:numPr>
          <w:ilvl w:val="0"/>
          <w:numId w:val="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NSimSun" w:hAnsi="Arial" w:cs="Arial"/>
          <w:kern w:val="3"/>
          <w:lang w:eastAsia="zh-CN" w:bidi="hi-IN"/>
        </w:rPr>
      </w:pPr>
      <w:r w:rsidRPr="000962A3">
        <w:rPr>
          <w:rFonts w:ascii="Arial" w:eastAsia="NSimSun" w:hAnsi="Arial" w:cs="Arial"/>
          <w:kern w:val="3"/>
          <w:lang w:eastAsia="zh-CN" w:bidi="hi-IN"/>
        </w:rPr>
        <w:t>Jednocześnie Zamawiający przypomina o ciążącym na uczestnikach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sectPr w:rsidR="00AC4C40" w:rsidRPr="000962A3" w:rsidSect="00F926F0">
      <w:headerReference w:type="default" r:id="rId8"/>
      <w:footerReference w:type="default" r:id="rId9"/>
      <w:pgSz w:w="11906" w:h="16838"/>
      <w:pgMar w:top="1134" w:right="1134" w:bottom="1134" w:left="1134" w:header="567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C40" w:rsidRDefault="00AC4C40" w:rsidP="00AC4C40">
      <w:pPr>
        <w:spacing w:after="0" w:line="240" w:lineRule="auto"/>
      </w:pPr>
      <w:r>
        <w:separator/>
      </w:r>
    </w:p>
  </w:endnote>
  <w:endnote w:type="continuationSeparator" w:id="0">
    <w:p w:rsidR="00AC4C40" w:rsidRDefault="00AC4C40" w:rsidP="00AC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1921987369"/>
      <w:docPartObj>
        <w:docPartGallery w:val="Page Numbers (Bottom of Page)"/>
        <w:docPartUnique/>
      </w:docPartObj>
    </w:sdtPr>
    <w:sdtEndPr/>
    <w:sdtContent>
      <w:p w:rsidR="001F127A" w:rsidRPr="003463D5" w:rsidRDefault="009B5D3F">
        <w:pPr>
          <w:pStyle w:val="Stopka"/>
          <w:jc w:val="center"/>
          <w:rPr>
            <w:sz w:val="18"/>
            <w:szCs w:val="18"/>
          </w:rPr>
        </w:pPr>
        <w:r w:rsidRPr="003463D5">
          <w:rPr>
            <w:noProof/>
            <w:sz w:val="18"/>
            <w:szCs w:val="18"/>
            <w:lang w:eastAsia="pl-PL" w:bidi="ar-SA"/>
          </w:rPr>
          <mc:AlternateContent>
            <mc:Choice Requires="wps">
              <w:drawing>
                <wp:inline distT="0" distB="0" distL="0" distR="0" wp14:anchorId="1D814CB3" wp14:editId="04683B02">
                  <wp:extent cx="5467350" cy="45085"/>
                  <wp:effectExtent l="0" t="9525" r="0" b="2540"/>
                  <wp:docPr id="5" name="Schemat blokowy: decyzja 5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9C2A031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Schemat blokowy: decyzja 5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:rsidR="001F127A" w:rsidRPr="003463D5" w:rsidRDefault="00D179B0" w:rsidP="003463D5">
        <w:pPr>
          <w:pStyle w:val="Stopka"/>
          <w:rPr>
            <w:sz w:val="18"/>
            <w:szCs w:val="18"/>
          </w:rPr>
        </w:pPr>
      </w:p>
    </w:sdtContent>
  </w:sdt>
  <w:p w:rsidR="001F127A" w:rsidRDefault="00D179B0" w:rsidP="00F926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C40" w:rsidRDefault="00AC4C40" w:rsidP="00AC4C40">
      <w:pPr>
        <w:spacing w:after="0" w:line="240" w:lineRule="auto"/>
      </w:pPr>
      <w:r>
        <w:separator/>
      </w:r>
    </w:p>
  </w:footnote>
  <w:footnote w:type="continuationSeparator" w:id="0">
    <w:p w:rsidR="00AC4C40" w:rsidRDefault="00AC4C40" w:rsidP="00AC4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1F127A" w:rsidRPr="00AB2E1A" w:rsidTr="00F926F0">
      <w:tc>
        <w:tcPr>
          <w:tcW w:w="9628" w:type="dxa"/>
        </w:tcPr>
        <w:p w:rsidR="001F127A" w:rsidRPr="00AC4C40" w:rsidRDefault="009B5D3F" w:rsidP="00DC30D7">
          <w:pPr>
            <w:pStyle w:val="Nagwek"/>
            <w:jc w:val="right"/>
            <w:rPr>
              <w:color w:val="000000"/>
              <w:sz w:val="18"/>
              <w:szCs w:val="18"/>
            </w:rPr>
          </w:pPr>
          <w:r w:rsidRPr="00AB2E1A">
            <w:rPr>
              <w:color w:val="000000"/>
              <w:sz w:val="18"/>
              <w:szCs w:val="18"/>
            </w:rPr>
            <w:t>nr postępowania</w:t>
          </w:r>
          <w:r>
            <w:rPr>
              <w:color w:val="000000"/>
              <w:sz w:val="18"/>
              <w:szCs w:val="18"/>
            </w:rPr>
            <w:t xml:space="preserve"> </w:t>
          </w:r>
          <w:r w:rsidR="00D179B0">
            <w:rPr>
              <w:color w:val="000000"/>
              <w:sz w:val="18"/>
              <w:szCs w:val="18"/>
            </w:rPr>
            <w:t>09</w:t>
          </w:r>
          <w:r w:rsidRPr="00AB2E1A">
            <w:rPr>
              <w:color w:val="000000"/>
              <w:sz w:val="18"/>
              <w:szCs w:val="18"/>
            </w:rPr>
            <w:t>/202</w:t>
          </w:r>
          <w:r w:rsidR="00D179B0">
            <w:rPr>
              <w:color w:val="000000"/>
              <w:sz w:val="18"/>
              <w:szCs w:val="18"/>
            </w:rPr>
            <w:t>4</w:t>
          </w:r>
          <w:r w:rsidRPr="00AB2E1A">
            <w:rPr>
              <w:color w:val="000000"/>
              <w:sz w:val="18"/>
              <w:szCs w:val="18"/>
            </w:rPr>
            <w:t>/MTBS</w:t>
          </w:r>
        </w:p>
      </w:tc>
    </w:tr>
  </w:tbl>
  <w:p w:rsidR="001F127A" w:rsidRDefault="00D179B0" w:rsidP="00F926F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BE0AAF"/>
    <w:multiLevelType w:val="hybridMultilevel"/>
    <w:tmpl w:val="33C456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1DEEB916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40"/>
    <w:rsid w:val="00062CBD"/>
    <w:rsid w:val="000962A3"/>
    <w:rsid w:val="006B6893"/>
    <w:rsid w:val="009B5D3F"/>
    <w:rsid w:val="009D3A2D"/>
    <w:rsid w:val="00AC4C40"/>
    <w:rsid w:val="00D179B0"/>
    <w:rsid w:val="00D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C35EA-0054-4435-A915-186D5CD0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4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4C40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AC4C4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C4C40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AC4C40"/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table" w:styleId="Tabela-Siatka">
    <w:name w:val="Table Grid"/>
    <w:basedOn w:val="Standardowy"/>
    <w:uiPriority w:val="39"/>
    <w:rsid w:val="00AC4C4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C4C40"/>
    <w:rPr>
      <w:color w:val="0563C1" w:themeColor="hyperlink"/>
      <w:u w:val="single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062CBD"/>
    <w:pPr>
      <w:ind w:left="720"/>
      <w:contextualSpacing/>
    </w:p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062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-mtbs@mtbst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Laura</cp:lastModifiedBy>
  <cp:revision>7</cp:revision>
  <dcterms:created xsi:type="dcterms:W3CDTF">2022-11-30T11:15:00Z</dcterms:created>
  <dcterms:modified xsi:type="dcterms:W3CDTF">2024-10-14T06:35:00Z</dcterms:modified>
</cp:coreProperties>
</file>